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2BA" w:rsidRPr="008323C1" w:rsidRDefault="00000000" w:rsidP="00D012BA">
      <w:pPr>
        <w:spacing w:line="360" w:lineRule="auto"/>
        <w:ind w:right="815"/>
        <w:rPr>
          <w:rFonts w:ascii="Times New Roman" w:hAnsi="Times New Roman"/>
        </w:rPr>
      </w:pPr>
      <w:r w:rsidRPr="008323C1">
        <w:rPr>
          <w:rFonts w:ascii="Times New Roman" w:hAnsi="Times New Roman"/>
        </w:rPr>
        <w:t>HAUTEUR AU GARROT</w:t>
      </w:r>
    </w:p>
    <w:p w:rsidR="00D012BA" w:rsidRPr="008323C1" w:rsidRDefault="00000000" w:rsidP="00D012BA">
      <w:pPr>
        <w:spacing w:line="360" w:lineRule="auto"/>
        <w:ind w:right="815"/>
        <w:rPr>
          <w:rFonts w:ascii="Times New Roman" w:hAnsi="Times New Roman"/>
        </w:rPr>
      </w:pPr>
      <w:r w:rsidRPr="008323C1">
        <w:rPr>
          <w:rFonts w:ascii="Times New Roman" w:hAnsi="Times New Roman"/>
        </w:rPr>
        <w:t>Les auteurs anglais expriment parfois encore la hauteur au garrot d'un Cheval en "hands" (one hand = 4 inches) ou en “feet” (one foot = 12 inches) et en "inches". Un "inch" = 25,4 mm. Ainsi  un Cheval de "21 hands high" ou “7 feet high” m</w:t>
      </w:r>
      <w:r w:rsidRPr="008323C1">
        <w:rPr>
          <w:rFonts w:ascii="Times New Roman" w:hAnsi="Times New Roman"/>
        </w:rPr>
        <w:t xml:space="preserve">esure 213,4 cm au garrot. D'après Willoughby (1974) les plus grands Chevaux de Trait peuvent atteindre cette taille.  </w:t>
      </w:r>
    </w:p>
    <w:p w:rsidR="00D012BA" w:rsidRPr="008323C1" w:rsidRDefault="00000000" w:rsidP="00D012BA">
      <w:pPr>
        <w:spacing w:line="360" w:lineRule="auto"/>
        <w:ind w:right="815"/>
        <w:rPr>
          <w:rFonts w:ascii="Times New Roman" w:hAnsi="Times New Roman"/>
        </w:rPr>
      </w:pPr>
    </w:p>
    <w:p w:rsidR="00D012BA" w:rsidRPr="008323C1" w:rsidRDefault="00000000" w:rsidP="00D012BA">
      <w:pPr>
        <w:pStyle w:val="Textebrut"/>
        <w:spacing w:line="360" w:lineRule="auto"/>
        <w:rPr>
          <w:rFonts w:ascii="Times New Roman" w:hAnsi="Times New Roman"/>
          <w:sz w:val="24"/>
        </w:rPr>
      </w:pPr>
      <w:r w:rsidRPr="008323C1">
        <w:rPr>
          <w:rFonts w:ascii="Times New Roman" w:hAnsi="Times New Roman"/>
          <w:sz w:val="24"/>
        </w:rPr>
        <w:t>Quand la hauteur au garrot ne peut pas être mesurée, on l'estime en multipliant la longueur d'un os long par un nombre approprié. De tel</w:t>
      </w:r>
      <w:r w:rsidRPr="008323C1">
        <w:rPr>
          <w:rFonts w:ascii="Times New Roman" w:hAnsi="Times New Roman"/>
          <w:sz w:val="24"/>
        </w:rPr>
        <w:t>s nombres ont été proposés par Kiesewalter en 1889 ("Indices de Kiesewalter's" cités par Gromova, 1949, p.14). Mais ainsi que bien des auteurs l'ont noté, les résultats ne sont pas toujours satisfaisants. Chez un animal adapté à la course, les os longs pro</w:t>
      </w:r>
      <w:r w:rsidRPr="008323C1">
        <w:rPr>
          <w:rFonts w:ascii="Times New Roman" w:hAnsi="Times New Roman"/>
          <w:sz w:val="24"/>
        </w:rPr>
        <w:t>ximaux (humérus, fémur, radius, tibia) sont relativement courts alors que les distaux, en particulier les métapodes, sont longs (Gregory 1912, Osborn 1929). Une estimation raisonnable de la hauteur au garrot doit se fonder sur la connaissance des  proporti</w:t>
      </w:r>
      <w:r w:rsidRPr="008323C1">
        <w:rPr>
          <w:rFonts w:ascii="Times New Roman" w:hAnsi="Times New Roman"/>
          <w:sz w:val="24"/>
        </w:rPr>
        <w:t xml:space="preserve">ons entre les longueurs de tous les os longs. </w:t>
      </w:r>
    </w:p>
    <w:p w:rsidR="00D012BA" w:rsidRPr="008323C1" w:rsidRDefault="00000000" w:rsidP="00D012BA">
      <w:pPr>
        <w:pStyle w:val="Textebrut"/>
        <w:spacing w:line="360" w:lineRule="auto"/>
        <w:rPr>
          <w:rFonts w:ascii="Times New Roman" w:hAnsi="Times New Roman"/>
          <w:sz w:val="24"/>
        </w:rPr>
      </w:pPr>
    </w:p>
    <w:p w:rsidR="00D012BA" w:rsidRPr="008323C1" w:rsidRDefault="00000000" w:rsidP="00D012BA">
      <w:pPr>
        <w:pStyle w:val="Textebrut"/>
        <w:spacing w:line="360" w:lineRule="auto"/>
        <w:rPr>
          <w:rFonts w:ascii="Times New Roman" w:hAnsi="Times New Roman"/>
          <w:sz w:val="24"/>
        </w:rPr>
      </w:pPr>
      <w:r w:rsidRPr="008323C1">
        <w:rPr>
          <w:rFonts w:ascii="Times New Roman" w:hAnsi="Times New Roman"/>
          <w:sz w:val="24"/>
        </w:rPr>
        <w:t>Willoughby (1974) a publié les longueurs moyennes des os longs et les hauteurs au garrot  correspondantes de nombreux équidés actuels. Le tableau suivant, basé sur ces données et les miennes, propose des "ind</w:t>
      </w:r>
      <w:r w:rsidRPr="008323C1">
        <w:rPr>
          <w:rFonts w:ascii="Times New Roman" w:hAnsi="Times New Roman"/>
          <w:sz w:val="24"/>
        </w:rPr>
        <w:t>ices" pour quelques espèces, sous-espèces et</w:t>
      </w:r>
      <w:r w:rsidRPr="00833132">
        <w:rPr>
          <w:rFonts w:ascii="Times New Roman" w:hAnsi="Times New Roman"/>
          <w:sz w:val="24"/>
        </w:rPr>
        <w:t xml:space="preserve"> </w:t>
      </w:r>
      <w:r w:rsidRPr="008323C1">
        <w:rPr>
          <w:rFonts w:ascii="Times New Roman" w:hAnsi="Times New Roman"/>
          <w:sz w:val="24"/>
        </w:rPr>
        <w:t>formes actuelles. Lorsqu'on étudie des squelettes ou des assemblages de divers os</w:t>
      </w:r>
      <w:r w:rsidRPr="00833132">
        <w:rPr>
          <w:rFonts w:ascii="Times New Roman" w:hAnsi="Times New Roman"/>
          <w:sz w:val="24"/>
        </w:rPr>
        <w:t xml:space="preserve"> </w:t>
      </w:r>
      <w:r w:rsidRPr="008323C1">
        <w:rPr>
          <w:rFonts w:ascii="Times New Roman" w:hAnsi="Times New Roman"/>
          <w:sz w:val="24"/>
        </w:rPr>
        <w:t>fossiles, il convient d'abord de  déterminer, autant que faire se peut, les proportions générales des membres en traçant un diagr</w:t>
      </w:r>
      <w:r w:rsidRPr="008323C1">
        <w:rPr>
          <w:rFonts w:ascii="Times New Roman" w:hAnsi="Times New Roman"/>
          <w:sz w:val="24"/>
        </w:rPr>
        <w:t xml:space="preserve">amme de Simpson (voir les diagrammes correspondant aux Zèbres et Anes ainsi qu'à différents Chevaux). On peut alors appliquer au fossile étudié les "indices" qui lui conviennent le mieux. Lorsqu'il s'agit de métapodes isolés, l'estimation est trés sujette </w:t>
      </w:r>
      <w:r w:rsidRPr="008323C1">
        <w:rPr>
          <w:rFonts w:ascii="Times New Roman" w:hAnsi="Times New Roman"/>
          <w:sz w:val="24"/>
        </w:rPr>
        <w:t xml:space="preserve">à caution : chez des équidés cursoriaux la hauteur au garrot s'obtient en multipliant la longueur d'un métacarpe par 5,32 et celle d'un métatarse par 4,52; chez des équidés graviportaux, les "indices" correspondants peuvent atteindre 6,72 and 5,87. Ainsi, </w:t>
      </w:r>
      <w:r w:rsidRPr="008323C1">
        <w:rPr>
          <w:rFonts w:ascii="Times New Roman" w:hAnsi="Times New Roman"/>
          <w:sz w:val="24"/>
        </w:rPr>
        <w:t>la  hauteur au garrot estimée pour l'équidé Villafranchien de Gannat varie de 156cm (s'il avait été très cursorial) à 202cm (s'il avait été très graviportal) !</w:t>
      </w:r>
    </w:p>
    <w:p w:rsidR="00D012BA" w:rsidRPr="008323C1" w:rsidRDefault="00000000" w:rsidP="00D012BA">
      <w:pPr>
        <w:spacing w:line="360" w:lineRule="auto"/>
        <w:rPr>
          <w:rFonts w:ascii="Times New Roman" w:hAnsi="Times New Roman"/>
        </w:rPr>
      </w:pPr>
    </w:p>
    <w:p w:rsidR="00D012BA" w:rsidRPr="008323C1" w:rsidRDefault="00000000">
      <w:pPr>
        <w:pStyle w:val="Textebrut"/>
        <w:rPr>
          <w:rFonts w:ascii="Times New Roman" w:hAnsi="Times New Roman"/>
          <w:sz w:val="24"/>
        </w:rPr>
      </w:pPr>
      <w:r w:rsidRPr="008323C1">
        <w:rPr>
          <w:rFonts w:ascii="Times New Roman" w:hAnsi="Times New Roman"/>
          <w:sz w:val="24"/>
        </w:rPr>
        <w:t>GREGORY W.K., 1912. - Notes on the principles of quadrupedal locomotion and on the mechanism of</w:t>
      </w:r>
      <w:r w:rsidRPr="008323C1">
        <w:rPr>
          <w:rFonts w:ascii="Times New Roman" w:hAnsi="Times New Roman"/>
          <w:sz w:val="24"/>
        </w:rPr>
        <w:t xml:space="preserve"> the limb bones in hoofed animals. New York Acad. Sci. Annls, 22 : 267-294, 34 pl.</w:t>
      </w:r>
    </w:p>
    <w:p w:rsidR="00D012BA" w:rsidRPr="008323C1" w:rsidRDefault="00000000">
      <w:pPr>
        <w:pStyle w:val="Textebrut"/>
        <w:rPr>
          <w:rFonts w:ascii="Times New Roman" w:hAnsi="Times New Roman"/>
          <w:sz w:val="24"/>
        </w:rPr>
      </w:pPr>
      <w:r w:rsidRPr="008323C1">
        <w:rPr>
          <w:rFonts w:ascii="Times New Roman" w:hAnsi="Times New Roman"/>
          <w:sz w:val="24"/>
        </w:rPr>
        <w:t xml:space="preserve"> </w:t>
      </w:r>
    </w:p>
    <w:p w:rsidR="00D012BA" w:rsidRPr="008323C1" w:rsidRDefault="00000000">
      <w:pPr>
        <w:pStyle w:val="Textebrut"/>
        <w:rPr>
          <w:rFonts w:ascii="Times New Roman" w:hAnsi="Times New Roman"/>
          <w:sz w:val="24"/>
        </w:rPr>
      </w:pPr>
      <w:r w:rsidRPr="008323C1">
        <w:rPr>
          <w:rFonts w:ascii="Times New Roman" w:hAnsi="Times New Roman"/>
          <w:sz w:val="24"/>
        </w:rPr>
        <w:lastRenderedPageBreak/>
        <w:t>GROMOVA V.I., 1949. - Istorija loshadej (roda Equus) v Starom Svete. Chast' 1. Obzor i opisanie form. Trudy paleont. Inst., Akad. Nauk SSSR, Moskva, 17 (1) : 373p., 53 fig</w:t>
      </w:r>
      <w:r w:rsidRPr="008323C1">
        <w:rPr>
          <w:rFonts w:ascii="Times New Roman" w:hAnsi="Times New Roman"/>
          <w:sz w:val="24"/>
        </w:rPr>
        <w:t>., 8 pl., 2O tabl.</w:t>
      </w:r>
    </w:p>
    <w:p w:rsidR="00D012BA" w:rsidRPr="008323C1" w:rsidRDefault="00000000">
      <w:pPr>
        <w:pStyle w:val="Textebrut"/>
        <w:rPr>
          <w:rFonts w:ascii="Times New Roman" w:hAnsi="Times New Roman"/>
          <w:sz w:val="24"/>
        </w:rPr>
      </w:pPr>
      <w:r w:rsidRPr="008323C1">
        <w:rPr>
          <w:rFonts w:ascii="Times New Roman" w:hAnsi="Times New Roman"/>
          <w:sz w:val="24"/>
        </w:rPr>
        <w:t xml:space="preserve">  </w:t>
      </w:r>
    </w:p>
    <w:p w:rsidR="00D012BA" w:rsidRPr="008323C1" w:rsidRDefault="00000000">
      <w:pPr>
        <w:pStyle w:val="Textebrut"/>
        <w:rPr>
          <w:rFonts w:ascii="Times New Roman" w:hAnsi="Times New Roman"/>
          <w:sz w:val="24"/>
        </w:rPr>
      </w:pPr>
      <w:r w:rsidRPr="008323C1">
        <w:rPr>
          <w:rFonts w:ascii="Times New Roman" w:hAnsi="Times New Roman"/>
          <w:sz w:val="24"/>
        </w:rPr>
        <w:t>OSBORN H. F., 1929. - The Titanotheres of ancient Wyoming, Dakota and Nebraska. Monogr. US. geol. Surv., 55, vol. 1, 701pp, 639 fig., 42 pl.; vol. 2 : 703-894, fig. 640-760, pl. 42-236. Washington.</w:t>
      </w:r>
    </w:p>
    <w:p w:rsidR="00D012BA" w:rsidRPr="008323C1" w:rsidRDefault="00000000">
      <w:pPr>
        <w:pStyle w:val="Textebrut"/>
        <w:rPr>
          <w:rFonts w:ascii="Times New Roman" w:hAnsi="Times New Roman"/>
          <w:sz w:val="24"/>
        </w:rPr>
      </w:pPr>
    </w:p>
    <w:p w:rsidR="00D012BA" w:rsidRPr="008323C1" w:rsidRDefault="00000000">
      <w:pPr>
        <w:pStyle w:val="Textebrut"/>
        <w:rPr>
          <w:rFonts w:ascii="Times New Roman" w:hAnsi="Times New Roman"/>
          <w:sz w:val="24"/>
        </w:rPr>
      </w:pPr>
      <w:r w:rsidRPr="008323C1">
        <w:rPr>
          <w:rFonts w:ascii="Times New Roman" w:hAnsi="Times New Roman"/>
          <w:sz w:val="24"/>
        </w:rPr>
        <w:t>WILLOUGHBY D.P., 1974. - The Empire</w:t>
      </w:r>
      <w:r w:rsidRPr="008323C1">
        <w:rPr>
          <w:rFonts w:ascii="Times New Roman" w:hAnsi="Times New Roman"/>
          <w:sz w:val="24"/>
        </w:rPr>
        <w:t xml:space="preserve"> of Equus . Barnes Ed., 475p., 251 fig., 31 tabl., New York.</w:t>
      </w:r>
    </w:p>
    <w:p w:rsidR="00D012BA" w:rsidRPr="008323C1" w:rsidRDefault="00000000">
      <w:pPr>
        <w:pStyle w:val="Textebrut"/>
        <w:rPr>
          <w:rFonts w:ascii="Times New Roman" w:hAnsi="Times New Roman"/>
          <w:sz w:val="24"/>
        </w:rPr>
      </w:pPr>
    </w:p>
    <w:p w:rsidR="00D012BA" w:rsidRPr="008323C1" w:rsidRDefault="00000000">
      <w:pPr>
        <w:rPr>
          <w:rFonts w:ascii="Times New Roman" w:hAnsi="Times New Roman"/>
        </w:rPr>
      </w:pPr>
    </w:p>
    <w:sectPr w:rsidR="00D012BA" w:rsidRPr="008323C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C1"/>
    <w:rsid w:val="00583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6FA7D9BE-0E39-864B-9B71-BAAF4E45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pPr>
      <w:autoSpaceDE w:val="0"/>
      <w:autoSpaceDN w:val="0"/>
    </w:pPr>
    <w:rPr>
      <w:rFonts w:ascii="Courier New" w:eastAsia="Times New Roman" w:hAnsi="Courier New"/>
      <w:sz w:val="20"/>
    </w:rPr>
  </w:style>
  <w:style w:type="paragraph" w:styleId="Retraitcorpsdetexte">
    <w:name w:val="Body Text Indent"/>
    <w:basedOn w:val="Normal"/>
    <w:pPr>
      <w:spacing w:line="360" w:lineRule="auto"/>
      <w:ind w:firstLine="708"/>
    </w:pPr>
    <w:rPr>
      <w:rFonts w:ascii="Geneva" w:hAnsi="Geneva"/>
    </w:rPr>
  </w:style>
  <w:style w:type="paragraph" w:styleId="Corpsdetexte">
    <w:name w:val="Body Text"/>
    <w:basedOn w:val="Normal"/>
    <w:pPr>
      <w:autoSpaceDE w:val="0"/>
      <w:autoSpaceDN w:val="0"/>
    </w:pPr>
    <w:rPr>
      <w:rFonts w:ascii="Geneva" w:eastAsia="Times New Roman" w:hAnsi="Genev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WITHERS HEIGHT </vt:lpstr>
    </vt:vector>
  </TitlesOfParts>
  <Company>MNHN</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WITHERS HEIGHT </dc:title>
  <dc:subject/>
  <dc:creator>Vera Eisenmann</dc:creator>
  <cp:keywords/>
  <cp:lastModifiedBy>Véra Eisenmann</cp:lastModifiedBy>
  <cp:revision>2</cp:revision>
  <dcterms:created xsi:type="dcterms:W3CDTF">2024-07-24T12:27:00Z</dcterms:created>
  <dcterms:modified xsi:type="dcterms:W3CDTF">2024-07-24T12:27:00Z</dcterms:modified>
</cp:coreProperties>
</file>